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04" w:rsidRPr="00E74404" w:rsidRDefault="00E74404" w:rsidP="00E74404">
      <w:pPr>
        <w:rPr>
          <w:b/>
          <w:bCs/>
        </w:rPr>
      </w:pPr>
    </w:p>
    <w:p w:rsidR="00E74404" w:rsidRPr="00E74404" w:rsidRDefault="004B6A5E" w:rsidP="00E74404">
      <w:pPr>
        <w:jc w:val="center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866775" cy="1095375"/>
            <wp:effectExtent l="19050" t="0" r="9525" b="0"/>
            <wp:docPr id="1" name="Picture 0" descr="IPA_LOGO high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PA_LOGO high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04" w:rsidRPr="00E74404" w:rsidRDefault="00E74404" w:rsidP="00E74404">
      <w:pPr>
        <w:jc w:val="center"/>
        <w:rPr>
          <w:rFonts w:ascii="Book Antiqua" w:hAnsi="Book Antiqua"/>
          <w:b/>
          <w:bCs/>
        </w:rPr>
      </w:pPr>
    </w:p>
    <w:p w:rsidR="00E74404" w:rsidRPr="00E74404" w:rsidRDefault="00E74404" w:rsidP="00E74404">
      <w:pPr>
        <w:jc w:val="center"/>
        <w:rPr>
          <w:rFonts w:ascii="Book Antiqua" w:hAnsi="Book Antiqua"/>
          <w:b/>
          <w:bCs/>
          <w:sz w:val="24"/>
          <w:szCs w:val="24"/>
        </w:rPr>
      </w:pPr>
      <w:r w:rsidRPr="00E74404">
        <w:rPr>
          <w:rFonts w:ascii="Book Antiqua" w:hAnsi="Book Antiqua"/>
          <w:b/>
          <w:bCs/>
          <w:sz w:val="24"/>
          <w:szCs w:val="24"/>
        </w:rPr>
        <w:t>INVESTMENT PROMOTION AUTHORITY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38"/>
      </w:tblGrid>
      <w:tr w:rsidR="00E74404" w:rsidRPr="008A2263" w:rsidTr="008D0D9C">
        <w:tc>
          <w:tcPr>
            <w:tcW w:w="8838" w:type="dxa"/>
            <w:tcBorders>
              <w:left w:val="nil"/>
              <w:right w:val="nil"/>
            </w:tcBorders>
          </w:tcPr>
          <w:p w:rsidR="00E74404" w:rsidRPr="008A2263" w:rsidRDefault="00E74404" w:rsidP="00E7440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8A2263">
              <w:rPr>
                <w:rFonts w:ascii="Book Antiqua" w:hAnsi="Book Antiqua"/>
                <w:b/>
                <w:bCs/>
                <w:sz w:val="24"/>
                <w:szCs w:val="24"/>
              </w:rPr>
              <w:t>PO Box 5053 BOROKO NCD. Papua New Guinea Tel (+675) 3217311/308 4400</w:t>
            </w:r>
          </w:p>
          <w:p w:rsidR="00E74404" w:rsidRPr="008A2263" w:rsidRDefault="00E74404" w:rsidP="00E7440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8A2263">
              <w:rPr>
                <w:rFonts w:ascii="Book Antiqua" w:hAnsi="Book Antiqua"/>
                <w:b/>
                <w:bCs/>
                <w:sz w:val="24"/>
                <w:szCs w:val="24"/>
              </w:rPr>
              <w:t>Fax (+675) 3202237</w:t>
            </w:r>
          </w:p>
        </w:tc>
      </w:tr>
    </w:tbl>
    <w:p w:rsidR="004E4409" w:rsidRDefault="004E4409" w:rsidP="009C43C2">
      <w:pPr>
        <w:jc w:val="center"/>
        <w:rPr>
          <w:rFonts w:ascii="Book Antiqua" w:hAnsi="Book Antiqua"/>
          <w:b/>
          <w:bCs/>
          <w:sz w:val="28"/>
          <w:szCs w:val="28"/>
        </w:rPr>
      </w:pPr>
    </w:p>
    <w:p w:rsidR="008D0D9C" w:rsidRPr="009C43C2" w:rsidRDefault="008D0D9C" w:rsidP="00C42F09">
      <w:pPr>
        <w:jc w:val="both"/>
        <w:rPr>
          <w:rFonts w:ascii="Book Antiqua" w:hAnsi="Book Antiqua"/>
          <w:b/>
          <w:bCs/>
          <w:sz w:val="28"/>
          <w:szCs w:val="28"/>
        </w:rPr>
      </w:pPr>
      <w:r w:rsidRPr="009C43C2">
        <w:rPr>
          <w:rFonts w:ascii="Book Antiqua" w:hAnsi="Book Antiqua"/>
          <w:b/>
          <w:bCs/>
          <w:sz w:val="28"/>
          <w:szCs w:val="28"/>
        </w:rPr>
        <w:t xml:space="preserve">INVESTMENT PROMOTION AUTHORITY </w:t>
      </w:r>
      <w:r w:rsidR="00091B75">
        <w:rPr>
          <w:rFonts w:ascii="Book Antiqua" w:hAnsi="Book Antiqua"/>
          <w:b/>
          <w:bCs/>
          <w:sz w:val="28"/>
          <w:szCs w:val="28"/>
        </w:rPr>
        <w:t xml:space="preserve">SPOT INSPECTION EXERCISE </w:t>
      </w:r>
      <w:r w:rsidR="003D7144">
        <w:rPr>
          <w:rFonts w:ascii="Book Antiqua" w:hAnsi="Book Antiqua"/>
          <w:b/>
          <w:bCs/>
          <w:sz w:val="28"/>
          <w:szCs w:val="28"/>
        </w:rPr>
        <w:t xml:space="preserve">UNDERWAY </w:t>
      </w:r>
      <w:r w:rsidR="00091B75">
        <w:rPr>
          <w:rFonts w:ascii="Book Antiqua" w:hAnsi="Book Antiqua"/>
          <w:b/>
          <w:bCs/>
          <w:sz w:val="28"/>
          <w:szCs w:val="28"/>
        </w:rPr>
        <w:t>IN LAE</w:t>
      </w:r>
      <w:r w:rsidR="00800330">
        <w:rPr>
          <w:rFonts w:ascii="Book Antiqua" w:hAnsi="Book Antiqua"/>
          <w:b/>
          <w:bCs/>
          <w:sz w:val="28"/>
          <w:szCs w:val="28"/>
        </w:rPr>
        <w:t xml:space="preserve"> </w:t>
      </w:r>
    </w:p>
    <w:p w:rsidR="00E85C11" w:rsidRDefault="00091B75" w:rsidP="00C42F09">
      <w:pPr>
        <w:jc w:val="both"/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 xml:space="preserve">The Investment Promotion Authority is currently carrying out a </w:t>
      </w:r>
      <w:r w:rsidR="00E95ED0">
        <w:rPr>
          <w:rFonts w:ascii="Book Antiqua" w:hAnsi="Book Antiqua"/>
          <w:bCs/>
          <w:sz w:val="24"/>
          <w:szCs w:val="24"/>
        </w:rPr>
        <w:t xml:space="preserve">month-long </w:t>
      </w:r>
      <w:r>
        <w:rPr>
          <w:rFonts w:ascii="Book Antiqua" w:hAnsi="Book Antiqua"/>
          <w:bCs/>
          <w:sz w:val="24"/>
          <w:szCs w:val="24"/>
        </w:rPr>
        <w:t>spot inspection and database survey in Lae, Morobe Province</w:t>
      </w:r>
      <w:r w:rsidR="004B6A5E">
        <w:rPr>
          <w:rFonts w:ascii="Book Antiqua" w:hAnsi="Book Antiqua"/>
          <w:bCs/>
          <w:sz w:val="24"/>
          <w:szCs w:val="24"/>
        </w:rPr>
        <w:t xml:space="preserve"> as part of its ongoing annual programs</w:t>
      </w:r>
      <w:r>
        <w:rPr>
          <w:rFonts w:ascii="Book Antiqua" w:hAnsi="Book Antiqua"/>
          <w:bCs/>
          <w:sz w:val="24"/>
          <w:szCs w:val="24"/>
        </w:rPr>
        <w:t xml:space="preserve">. </w:t>
      </w:r>
      <w:r w:rsidR="00E95ED0">
        <w:rPr>
          <w:rFonts w:ascii="Book Antiqua" w:hAnsi="Book Antiqua"/>
          <w:bCs/>
          <w:sz w:val="24"/>
          <w:szCs w:val="24"/>
        </w:rPr>
        <w:t xml:space="preserve"> </w:t>
      </w:r>
    </w:p>
    <w:p w:rsidR="00682232" w:rsidRDefault="00091B75" w:rsidP="00C42F09">
      <w:pPr>
        <w:jc w:val="both"/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 xml:space="preserve">The exercise is a normal activity conducted by the IPA in collaboration with other </w:t>
      </w:r>
      <w:r w:rsidR="00682232">
        <w:rPr>
          <w:rFonts w:ascii="Book Antiqua" w:hAnsi="Book Antiqua"/>
          <w:bCs/>
          <w:sz w:val="24"/>
          <w:szCs w:val="24"/>
        </w:rPr>
        <w:t xml:space="preserve">government </w:t>
      </w:r>
      <w:r>
        <w:rPr>
          <w:rFonts w:ascii="Book Antiqua" w:hAnsi="Book Antiqua"/>
          <w:bCs/>
          <w:sz w:val="24"/>
          <w:szCs w:val="24"/>
        </w:rPr>
        <w:t>regulatory agencies to ensure that</w:t>
      </w:r>
      <w:r w:rsidR="00682232">
        <w:rPr>
          <w:rFonts w:ascii="Book Antiqua" w:hAnsi="Book Antiqua"/>
          <w:bCs/>
          <w:sz w:val="24"/>
          <w:szCs w:val="24"/>
        </w:rPr>
        <w:t xml:space="preserve"> companies that are carrying out business are co</w:t>
      </w:r>
      <w:r w:rsidR="00E95ED0">
        <w:rPr>
          <w:rFonts w:ascii="Book Antiqua" w:hAnsi="Book Antiqua"/>
          <w:bCs/>
          <w:sz w:val="24"/>
          <w:szCs w:val="24"/>
        </w:rPr>
        <w:t xml:space="preserve">mplying with the relevant laws </w:t>
      </w:r>
      <w:r w:rsidR="00682232">
        <w:rPr>
          <w:rFonts w:ascii="Book Antiqua" w:hAnsi="Book Antiqua"/>
          <w:bCs/>
          <w:sz w:val="24"/>
          <w:szCs w:val="24"/>
        </w:rPr>
        <w:t>in the country.</w:t>
      </w:r>
    </w:p>
    <w:p w:rsidR="00091B75" w:rsidRDefault="00682232" w:rsidP="00C42F09">
      <w:pPr>
        <w:jc w:val="both"/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lastRenderedPageBreak/>
        <w:t xml:space="preserve">The Lae exercise consists </w:t>
      </w:r>
      <w:r w:rsidR="00E44377">
        <w:rPr>
          <w:rFonts w:ascii="Book Antiqua" w:hAnsi="Book Antiqua"/>
          <w:bCs/>
          <w:sz w:val="24"/>
          <w:szCs w:val="24"/>
        </w:rPr>
        <w:t>of</w:t>
      </w:r>
      <w:r>
        <w:rPr>
          <w:rFonts w:ascii="Book Antiqua" w:hAnsi="Book Antiqua"/>
          <w:bCs/>
          <w:sz w:val="24"/>
          <w:szCs w:val="24"/>
        </w:rPr>
        <w:t xml:space="preserve"> officers from </w:t>
      </w:r>
      <w:r w:rsidR="00091B75">
        <w:rPr>
          <w:rFonts w:ascii="Book Antiqua" w:hAnsi="Book Antiqua"/>
          <w:bCs/>
          <w:sz w:val="24"/>
          <w:szCs w:val="24"/>
        </w:rPr>
        <w:t xml:space="preserve">the </w:t>
      </w:r>
      <w:r w:rsidR="00AF3971">
        <w:rPr>
          <w:rFonts w:ascii="Book Antiqua" w:hAnsi="Book Antiqua"/>
          <w:bCs/>
          <w:sz w:val="24"/>
          <w:szCs w:val="24"/>
        </w:rPr>
        <w:t xml:space="preserve">Investment Promotion Authority, </w:t>
      </w:r>
      <w:r w:rsidR="00091B75">
        <w:rPr>
          <w:rFonts w:ascii="Book Antiqua" w:hAnsi="Book Antiqua"/>
          <w:bCs/>
          <w:sz w:val="24"/>
          <w:szCs w:val="24"/>
        </w:rPr>
        <w:t xml:space="preserve">Internal Revenue Commission (IRC), PNG Customs, Department of Labour &amp; Industrial Relations, Independent Consumer and Competition Commission (ICCC), </w:t>
      </w:r>
      <w:r>
        <w:rPr>
          <w:rFonts w:ascii="Book Antiqua" w:hAnsi="Book Antiqua"/>
          <w:bCs/>
          <w:sz w:val="24"/>
          <w:szCs w:val="24"/>
        </w:rPr>
        <w:t xml:space="preserve">PNG Immigration and Citizenship Services Authority, </w:t>
      </w:r>
      <w:r w:rsidR="00091B75">
        <w:rPr>
          <w:rFonts w:ascii="Book Antiqua" w:hAnsi="Book Antiqua"/>
          <w:bCs/>
          <w:sz w:val="24"/>
          <w:szCs w:val="24"/>
        </w:rPr>
        <w:t>PNG Power</w:t>
      </w:r>
      <w:r w:rsidR="00E833DB">
        <w:rPr>
          <w:rFonts w:ascii="Book Antiqua" w:hAnsi="Book Antiqua"/>
          <w:bCs/>
          <w:sz w:val="24"/>
          <w:szCs w:val="24"/>
        </w:rPr>
        <w:t xml:space="preserve"> Limited, Morobe Administration, Morobe Provincial Commerce Office and Morobe Provincial Police.</w:t>
      </w:r>
      <w:r w:rsidR="00091B75">
        <w:rPr>
          <w:rFonts w:ascii="Book Antiqua" w:hAnsi="Book Antiqua"/>
          <w:bCs/>
          <w:sz w:val="24"/>
          <w:szCs w:val="24"/>
        </w:rPr>
        <w:t xml:space="preserve">     </w:t>
      </w:r>
    </w:p>
    <w:p w:rsidR="00E833DB" w:rsidRDefault="00E833DB" w:rsidP="00091B75">
      <w:pPr>
        <w:jc w:val="both"/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 xml:space="preserve">Prior to the </w:t>
      </w:r>
      <w:r w:rsidR="00E44377">
        <w:rPr>
          <w:rFonts w:ascii="Book Antiqua" w:hAnsi="Book Antiqua"/>
          <w:bCs/>
          <w:sz w:val="24"/>
          <w:szCs w:val="24"/>
        </w:rPr>
        <w:t xml:space="preserve">implementation of the </w:t>
      </w:r>
      <w:r>
        <w:rPr>
          <w:rFonts w:ascii="Book Antiqua" w:hAnsi="Book Antiqua"/>
          <w:bCs/>
          <w:sz w:val="24"/>
          <w:szCs w:val="24"/>
        </w:rPr>
        <w:t xml:space="preserve">exercise, notices were published </w:t>
      </w:r>
      <w:r w:rsidR="00E44377">
        <w:rPr>
          <w:rFonts w:ascii="Book Antiqua" w:hAnsi="Book Antiqua"/>
          <w:bCs/>
          <w:sz w:val="24"/>
          <w:szCs w:val="24"/>
        </w:rPr>
        <w:t xml:space="preserve">for two weeks </w:t>
      </w:r>
      <w:r>
        <w:rPr>
          <w:rFonts w:ascii="Book Antiqua" w:hAnsi="Book Antiqua"/>
          <w:bCs/>
          <w:sz w:val="24"/>
          <w:szCs w:val="24"/>
        </w:rPr>
        <w:t>in the dail</w:t>
      </w:r>
      <w:r w:rsidR="00E44377">
        <w:rPr>
          <w:rFonts w:ascii="Book Antiqua" w:hAnsi="Book Antiqua"/>
          <w:bCs/>
          <w:sz w:val="24"/>
          <w:szCs w:val="24"/>
        </w:rPr>
        <w:t>y newspapers advising businesses and companies opera</w:t>
      </w:r>
      <w:r w:rsidR="00170363">
        <w:rPr>
          <w:rFonts w:ascii="Book Antiqua" w:hAnsi="Book Antiqua"/>
          <w:bCs/>
          <w:sz w:val="24"/>
          <w:szCs w:val="24"/>
        </w:rPr>
        <w:t>ting in Lae of the team’s visit and to have their appropriate documents ready when approached by the team.</w:t>
      </w:r>
      <w:r>
        <w:rPr>
          <w:rFonts w:ascii="Book Antiqua" w:hAnsi="Book Antiqua"/>
          <w:bCs/>
          <w:sz w:val="24"/>
          <w:szCs w:val="24"/>
        </w:rPr>
        <w:t xml:space="preserve">  </w:t>
      </w:r>
    </w:p>
    <w:p w:rsidR="00091B75" w:rsidRDefault="00091B75" w:rsidP="00091B75">
      <w:pPr>
        <w:jc w:val="both"/>
        <w:rPr>
          <w:rFonts w:ascii="Book Antiqua" w:hAnsi="Book Antiqua"/>
          <w:bCs/>
          <w:sz w:val="24"/>
          <w:szCs w:val="24"/>
        </w:rPr>
      </w:pPr>
      <w:r w:rsidRPr="00091B75">
        <w:rPr>
          <w:rFonts w:ascii="Book Antiqua" w:hAnsi="Book Antiqua"/>
          <w:bCs/>
          <w:sz w:val="24"/>
          <w:szCs w:val="24"/>
        </w:rPr>
        <w:t>The primary purpose</w:t>
      </w:r>
      <w:r w:rsidR="00E44377">
        <w:rPr>
          <w:rFonts w:ascii="Book Antiqua" w:hAnsi="Book Antiqua"/>
          <w:bCs/>
          <w:sz w:val="24"/>
          <w:szCs w:val="24"/>
        </w:rPr>
        <w:t xml:space="preserve"> </w:t>
      </w:r>
      <w:r w:rsidRPr="00091B75">
        <w:rPr>
          <w:rFonts w:ascii="Book Antiqua" w:hAnsi="Book Antiqua"/>
          <w:bCs/>
          <w:sz w:val="24"/>
          <w:szCs w:val="24"/>
        </w:rPr>
        <w:t xml:space="preserve">of </w:t>
      </w:r>
      <w:r w:rsidR="00E44377">
        <w:rPr>
          <w:rFonts w:ascii="Book Antiqua" w:hAnsi="Book Antiqua"/>
          <w:bCs/>
          <w:sz w:val="24"/>
          <w:szCs w:val="24"/>
        </w:rPr>
        <w:t xml:space="preserve">such </w:t>
      </w:r>
      <w:r w:rsidRPr="00091B75">
        <w:rPr>
          <w:rFonts w:ascii="Book Antiqua" w:hAnsi="Book Antiqua"/>
          <w:bCs/>
          <w:sz w:val="24"/>
          <w:szCs w:val="24"/>
        </w:rPr>
        <w:t>exercises are to</w:t>
      </w:r>
      <w:r w:rsidR="00E44377">
        <w:rPr>
          <w:rFonts w:ascii="Book Antiqua" w:hAnsi="Book Antiqua"/>
          <w:bCs/>
          <w:sz w:val="24"/>
          <w:szCs w:val="24"/>
        </w:rPr>
        <w:t xml:space="preserve"> o</w:t>
      </w:r>
      <w:r w:rsidRPr="00091B75">
        <w:rPr>
          <w:rFonts w:ascii="Book Antiqua" w:hAnsi="Book Antiqua"/>
          <w:bCs/>
          <w:sz w:val="24"/>
          <w:szCs w:val="24"/>
        </w:rPr>
        <w:t>btain economic data</w:t>
      </w:r>
      <w:r w:rsidR="00E95ED0">
        <w:rPr>
          <w:rFonts w:ascii="Book Antiqua" w:hAnsi="Book Antiqua"/>
          <w:bCs/>
          <w:sz w:val="24"/>
          <w:szCs w:val="24"/>
        </w:rPr>
        <w:t xml:space="preserve"> </w:t>
      </w:r>
      <w:r w:rsidRPr="00091B75">
        <w:rPr>
          <w:rFonts w:ascii="Book Antiqua" w:hAnsi="Book Antiqua"/>
          <w:bCs/>
          <w:sz w:val="24"/>
          <w:szCs w:val="24"/>
        </w:rPr>
        <w:t xml:space="preserve">from the business community in </w:t>
      </w:r>
      <w:r w:rsidR="00E44377">
        <w:rPr>
          <w:rFonts w:ascii="Book Antiqua" w:hAnsi="Book Antiqua"/>
          <w:bCs/>
          <w:sz w:val="24"/>
          <w:szCs w:val="24"/>
        </w:rPr>
        <w:t xml:space="preserve">provinces </w:t>
      </w:r>
      <w:r w:rsidRPr="00091B75">
        <w:rPr>
          <w:rFonts w:ascii="Book Antiqua" w:hAnsi="Book Antiqua"/>
          <w:bCs/>
          <w:sz w:val="24"/>
          <w:szCs w:val="24"/>
        </w:rPr>
        <w:t>and</w:t>
      </w:r>
      <w:r w:rsidR="00E44377">
        <w:rPr>
          <w:rFonts w:ascii="Book Antiqua" w:hAnsi="Book Antiqua"/>
          <w:bCs/>
          <w:sz w:val="24"/>
          <w:szCs w:val="24"/>
        </w:rPr>
        <w:t xml:space="preserve"> t</w:t>
      </w:r>
      <w:r w:rsidRPr="00091B75">
        <w:rPr>
          <w:rFonts w:ascii="Book Antiqua" w:hAnsi="Book Antiqua"/>
          <w:bCs/>
          <w:sz w:val="24"/>
          <w:szCs w:val="24"/>
        </w:rPr>
        <w:t xml:space="preserve">o ensure </w:t>
      </w:r>
      <w:r w:rsidR="00E44377">
        <w:rPr>
          <w:rFonts w:ascii="Book Antiqua" w:hAnsi="Book Antiqua"/>
          <w:bCs/>
          <w:sz w:val="24"/>
          <w:szCs w:val="24"/>
        </w:rPr>
        <w:t xml:space="preserve">that </w:t>
      </w:r>
      <w:r w:rsidRPr="00091B75">
        <w:rPr>
          <w:rFonts w:ascii="Book Antiqua" w:hAnsi="Book Antiqua"/>
          <w:bCs/>
          <w:sz w:val="24"/>
          <w:szCs w:val="24"/>
        </w:rPr>
        <w:t>companies comply with the various legislations administered by IPA as well as other government regulatory agencies.</w:t>
      </w:r>
      <w:r w:rsidR="00E44377">
        <w:rPr>
          <w:rFonts w:ascii="Book Antiqua" w:hAnsi="Book Antiqua"/>
          <w:bCs/>
          <w:sz w:val="24"/>
          <w:szCs w:val="24"/>
        </w:rPr>
        <w:t xml:space="preserve"> </w:t>
      </w:r>
      <w:r w:rsidRPr="00091B75">
        <w:rPr>
          <w:rFonts w:ascii="Book Antiqua" w:hAnsi="Book Antiqua"/>
          <w:bCs/>
          <w:sz w:val="24"/>
          <w:szCs w:val="24"/>
        </w:rPr>
        <w:t xml:space="preserve"> </w:t>
      </w:r>
    </w:p>
    <w:p w:rsidR="00E44377" w:rsidRPr="00091B75" w:rsidRDefault="00170363" w:rsidP="00091B75">
      <w:pPr>
        <w:jc w:val="both"/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>Similar</w:t>
      </w:r>
      <w:r w:rsidR="00E44377">
        <w:rPr>
          <w:rFonts w:ascii="Book Antiqua" w:hAnsi="Book Antiqua"/>
          <w:bCs/>
          <w:sz w:val="24"/>
          <w:szCs w:val="24"/>
        </w:rPr>
        <w:t xml:space="preserve"> exercises were carried out </w:t>
      </w:r>
      <w:r>
        <w:rPr>
          <w:rFonts w:ascii="Book Antiqua" w:hAnsi="Book Antiqua"/>
          <w:bCs/>
          <w:sz w:val="24"/>
          <w:szCs w:val="24"/>
        </w:rPr>
        <w:t xml:space="preserve">last year </w:t>
      </w:r>
      <w:r w:rsidR="00E44377">
        <w:rPr>
          <w:rFonts w:ascii="Book Antiqua" w:hAnsi="Book Antiqua"/>
          <w:bCs/>
          <w:sz w:val="24"/>
          <w:szCs w:val="24"/>
        </w:rPr>
        <w:t>in NCD, East Sepik and Sandaun Provinces.</w:t>
      </w:r>
    </w:p>
    <w:p w:rsidR="00E44377" w:rsidRDefault="00E44377" w:rsidP="00C42F09">
      <w:pPr>
        <w:jc w:val="both"/>
        <w:rPr>
          <w:rFonts w:ascii="Book Antiqua" w:hAnsi="Book Antiqua"/>
          <w:b/>
          <w:bCs/>
          <w:sz w:val="24"/>
          <w:szCs w:val="24"/>
        </w:rPr>
      </w:pPr>
    </w:p>
    <w:p w:rsidR="00E74404" w:rsidRPr="00E74404" w:rsidRDefault="00E74404" w:rsidP="00C42F09">
      <w:pPr>
        <w:jc w:val="both"/>
        <w:rPr>
          <w:rFonts w:ascii="Book Antiqua" w:hAnsi="Book Antiqua"/>
          <w:b/>
          <w:bCs/>
          <w:sz w:val="24"/>
          <w:szCs w:val="24"/>
        </w:rPr>
      </w:pPr>
      <w:r w:rsidRPr="00E74404">
        <w:rPr>
          <w:rFonts w:ascii="Book Antiqua" w:hAnsi="Book Antiqua"/>
          <w:b/>
          <w:bCs/>
          <w:sz w:val="24"/>
          <w:szCs w:val="24"/>
        </w:rPr>
        <w:t>Authorized for release by:</w:t>
      </w:r>
    </w:p>
    <w:p w:rsidR="00E74404" w:rsidRPr="00E74404" w:rsidRDefault="00E74404" w:rsidP="00C42F09">
      <w:pPr>
        <w:jc w:val="both"/>
        <w:rPr>
          <w:rFonts w:ascii="Book Antiqua" w:hAnsi="Book Antiqua"/>
          <w:b/>
          <w:bCs/>
          <w:sz w:val="24"/>
          <w:szCs w:val="24"/>
        </w:rPr>
      </w:pPr>
    </w:p>
    <w:p w:rsidR="00E74404" w:rsidRPr="00E74404" w:rsidRDefault="00E74404" w:rsidP="00C42F09">
      <w:pPr>
        <w:jc w:val="both"/>
        <w:rPr>
          <w:rFonts w:ascii="Book Antiqua" w:hAnsi="Book Antiqua"/>
          <w:b/>
          <w:bCs/>
          <w:sz w:val="24"/>
          <w:szCs w:val="24"/>
        </w:rPr>
      </w:pPr>
      <w:r w:rsidRPr="00E74404">
        <w:rPr>
          <w:rFonts w:ascii="Book Antiqua" w:hAnsi="Book Antiqua"/>
          <w:b/>
          <w:bCs/>
          <w:sz w:val="24"/>
          <w:szCs w:val="24"/>
        </w:rPr>
        <w:t>------------------------</w:t>
      </w:r>
    </w:p>
    <w:p w:rsidR="00E74404" w:rsidRPr="00E74404" w:rsidRDefault="00E74404" w:rsidP="00C42F09">
      <w:pPr>
        <w:spacing w:line="240" w:lineRule="auto"/>
        <w:jc w:val="both"/>
        <w:rPr>
          <w:rFonts w:ascii="Book Antiqua" w:hAnsi="Book Antiqua"/>
          <w:b/>
          <w:bCs/>
          <w:sz w:val="24"/>
          <w:szCs w:val="24"/>
        </w:rPr>
      </w:pPr>
      <w:r w:rsidRPr="00E74404">
        <w:rPr>
          <w:rFonts w:ascii="Book Antiqua" w:hAnsi="Book Antiqua"/>
          <w:b/>
          <w:bCs/>
          <w:sz w:val="24"/>
          <w:szCs w:val="24"/>
        </w:rPr>
        <w:t xml:space="preserve">Mr </w:t>
      </w:r>
      <w:r w:rsidR="00800330">
        <w:rPr>
          <w:rFonts w:ascii="Book Antiqua" w:hAnsi="Book Antiqua"/>
          <w:b/>
          <w:bCs/>
          <w:sz w:val="24"/>
          <w:szCs w:val="24"/>
        </w:rPr>
        <w:t xml:space="preserve">Clarence </w:t>
      </w:r>
      <w:r w:rsidR="00493261">
        <w:rPr>
          <w:rFonts w:ascii="Book Antiqua" w:hAnsi="Book Antiqua"/>
          <w:b/>
          <w:bCs/>
          <w:sz w:val="24"/>
          <w:szCs w:val="24"/>
        </w:rPr>
        <w:t xml:space="preserve">M. </w:t>
      </w:r>
      <w:r w:rsidR="00800330">
        <w:rPr>
          <w:rFonts w:ascii="Book Antiqua" w:hAnsi="Book Antiqua"/>
          <w:b/>
          <w:bCs/>
          <w:sz w:val="24"/>
          <w:szCs w:val="24"/>
        </w:rPr>
        <w:t>Hoot</w:t>
      </w:r>
    </w:p>
    <w:p w:rsidR="00E74404" w:rsidRPr="00E74404" w:rsidRDefault="00800330" w:rsidP="00C42F09">
      <w:pPr>
        <w:spacing w:line="240" w:lineRule="auto"/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Acting Managing Director</w:t>
      </w:r>
    </w:p>
    <w:p w:rsidR="001D5FB6" w:rsidRPr="00E74404" w:rsidRDefault="001D5FB6" w:rsidP="00C42F09">
      <w:pPr>
        <w:jc w:val="both"/>
        <w:rPr>
          <w:rFonts w:ascii="Book Antiqua" w:hAnsi="Book Antiqua"/>
          <w:sz w:val="24"/>
          <w:szCs w:val="24"/>
        </w:rPr>
      </w:pPr>
    </w:p>
    <w:sectPr w:rsidR="001D5FB6" w:rsidRPr="00E74404" w:rsidSect="008D0D9C">
      <w:pgSz w:w="12240" w:h="15840" w:code="1"/>
      <w:pgMar w:top="720" w:right="1411" w:bottom="576" w:left="1411" w:header="720" w:footer="720" w:gutter="0"/>
      <w:paperSrc w:first="2" w:other="2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0158B"/>
    <w:multiLevelType w:val="hybridMultilevel"/>
    <w:tmpl w:val="5088E4B8"/>
    <w:lvl w:ilvl="0" w:tplc="6E24DF18">
      <w:start w:val="1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3BBA0D15"/>
    <w:multiLevelType w:val="hybridMultilevel"/>
    <w:tmpl w:val="A678D9B6"/>
    <w:lvl w:ilvl="0" w:tplc="3B1068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E74404"/>
    <w:rsid w:val="00091B75"/>
    <w:rsid w:val="000D0011"/>
    <w:rsid w:val="00170363"/>
    <w:rsid w:val="001D5FB6"/>
    <w:rsid w:val="001F7178"/>
    <w:rsid w:val="00225E23"/>
    <w:rsid w:val="00245414"/>
    <w:rsid w:val="00280DB1"/>
    <w:rsid w:val="002A2552"/>
    <w:rsid w:val="002C1650"/>
    <w:rsid w:val="003D7144"/>
    <w:rsid w:val="003E0CC2"/>
    <w:rsid w:val="003E0FC4"/>
    <w:rsid w:val="004463E1"/>
    <w:rsid w:val="00493261"/>
    <w:rsid w:val="004B6A5E"/>
    <w:rsid w:val="004D361E"/>
    <w:rsid w:val="004E4409"/>
    <w:rsid w:val="005313E2"/>
    <w:rsid w:val="00573ED4"/>
    <w:rsid w:val="006171FB"/>
    <w:rsid w:val="00682232"/>
    <w:rsid w:val="00696EB6"/>
    <w:rsid w:val="00765399"/>
    <w:rsid w:val="00791473"/>
    <w:rsid w:val="007A5B6E"/>
    <w:rsid w:val="00800330"/>
    <w:rsid w:val="0080754B"/>
    <w:rsid w:val="0085671C"/>
    <w:rsid w:val="00882C78"/>
    <w:rsid w:val="00885CB3"/>
    <w:rsid w:val="008A2263"/>
    <w:rsid w:val="008D0D9C"/>
    <w:rsid w:val="00962F39"/>
    <w:rsid w:val="009A30AD"/>
    <w:rsid w:val="009C43C2"/>
    <w:rsid w:val="00A343EE"/>
    <w:rsid w:val="00A52F43"/>
    <w:rsid w:val="00A917C2"/>
    <w:rsid w:val="00AA01BB"/>
    <w:rsid w:val="00AC4F06"/>
    <w:rsid w:val="00AE34CD"/>
    <w:rsid w:val="00AF3971"/>
    <w:rsid w:val="00AF643B"/>
    <w:rsid w:val="00B0467A"/>
    <w:rsid w:val="00B13C1D"/>
    <w:rsid w:val="00B8079C"/>
    <w:rsid w:val="00B87EFE"/>
    <w:rsid w:val="00BD1D53"/>
    <w:rsid w:val="00C42F09"/>
    <w:rsid w:val="00C637D3"/>
    <w:rsid w:val="00E00D28"/>
    <w:rsid w:val="00E359FC"/>
    <w:rsid w:val="00E44377"/>
    <w:rsid w:val="00E7421C"/>
    <w:rsid w:val="00E74404"/>
    <w:rsid w:val="00E833DB"/>
    <w:rsid w:val="00E85C11"/>
    <w:rsid w:val="00E95ED0"/>
    <w:rsid w:val="00EC5944"/>
    <w:rsid w:val="00EF73D6"/>
    <w:rsid w:val="00F5535B"/>
    <w:rsid w:val="00F762F3"/>
    <w:rsid w:val="00FD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B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44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56ACF-1E66-4E8E-A386-A04CA726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beverlyp</dc:creator>
  <cp:lastModifiedBy>beverlyp</cp:lastModifiedBy>
  <cp:revision>2</cp:revision>
  <cp:lastPrinted>2017-03-14T07:52:00Z</cp:lastPrinted>
  <dcterms:created xsi:type="dcterms:W3CDTF">2017-03-20T05:25:00Z</dcterms:created>
  <dcterms:modified xsi:type="dcterms:W3CDTF">2017-03-20T05:25:00Z</dcterms:modified>
</cp:coreProperties>
</file>