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CF" w:rsidRPr="006B40BF" w:rsidRDefault="00FC1BE3" w:rsidP="00147F87">
      <w:pPr>
        <w:jc w:val="both"/>
        <w:rPr>
          <w:rFonts w:ascii="Book Antiqua" w:hAnsi="Book Antiqua"/>
          <w:b/>
          <w:color w:val="1F497D" w:themeColor="text2"/>
          <w:sz w:val="24"/>
          <w:szCs w:val="24"/>
        </w:rPr>
      </w:pPr>
      <w:r>
        <w:rPr>
          <w:rFonts w:ascii="Book Antiqua" w:hAnsi="Book Antiqua"/>
          <w:b/>
          <w:color w:val="1F497D" w:themeColor="text2"/>
          <w:sz w:val="24"/>
          <w:szCs w:val="24"/>
        </w:rPr>
        <w:t xml:space="preserve">IPA CLARIFIES PUBLICATION OF COMPANIES LISTING </w:t>
      </w:r>
    </w:p>
    <w:p w:rsidR="009974CF" w:rsidRPr="006B40BF" w:rsidRDefault="009974CF" w:rsidP="00147F87">
      <w:pPr>
        <w:jc w:val="both"/>
        <w:rPr>
          <w:rFonts w:ascii="Book Antiqua" w:hAnsi="Book Antiqua"/>
          <w:color w:val="1F497D" w:themeColor="text2"/>
          <w:sz w:val="24"/>
          <w:szCs w:val="24"/>
        </w:rPr>
      </w:pPr>
    </w:p>
    <w:p w:rsidR="00957F11" w:rsidRPr="006B40BF" w:rsidRDefault="00957F11" w:rsidP="00147F87">
      <w:pPr>
        <w:jc w:val="both"/>
        <w:rPr>
          <w:rFonts w:ascii="Book Antiqua" w:hAnsi="Book Antiqua"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color w:val="1F497D" w:themeColor="text2"/>
          <w:sz w:val="24"/>
          <w:szCs w:val="24"/>
        </w:rPr>
        <w:t>This notice serves as clarification on the current compliance exercise being undertaken by the Investment Promotion Authority through the Office of the Registrar of Companies.</w:t>
      </w:r>
    </w:p>
    <w:p w:rsidR="0079743C" w:rsidRPr="006B40BF" w:rsidRDefault="0079743C" w:rsidP="00147F87">
      <w:pPr>
        <w:jc w:val="both"/>
        <w:rPr>
          <w:rFonts w:ascii="Book Antiqua" w:hAnsi="Book Antiqua"/>
          <w:color w:val="1F497D" w:themeColor="text2"/>
          <w:sz w:val="24"/>
          <w:szCs w:val="24"/>
        </w:rPr>
      </w:pPr>
    </w:p>
    <w:p w:rsidR="006B40BF" w:rsidRPr="006B40BF" w:rsidRDefault="0079743C" w:rsidP="006B40BF">
      <w:pPr>
        <w:jc w:val="both"/>
        <w:rPr>
          <w:rFonts w:ascii="Book Antiqua" w:hAnsi="Book Antiqua"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color w:val="1F497D" w:themeColor="text2"/>
          <w:sz w:val="24"/>
          <w:szCs w:val="24"/>
        </w:rPr>
        <w:t>We</w:t>
      </w:r>
      <w:r w:rsidR="00957F11" w:rsidRPr="006B40BF">
        <w:rPr>
          <w:rFonts w:ascii="Book Antiqua" w:hAnsi="Book Antiqua"/>
          <w:color w:val="1F497D" w:themeColor="text2"/>
          <w:sz w:val="24"/>
          <w:szCs w:val="24"/>
        </w:rPr>
        <w:t xml:space="preserve"> published </w:t>
      </w:r>
      <w:r w:rsidR="00AA3113" w:rsidRPr="006B40BF">
        <w:rPr>
          <w:rFonts w:ascii="Book Antiqua" w:hAnsi="Book Antiqua"/>
          <w:color w:val="1F497D" w:themeColor="text2"/>
          <w:sz w:val="24"/>
          <w:szCs w:val="24"/>
        </w:rPr>
        <w:t xml:space="preserve">on </w:t>
      </w:r>
      <w:r w:rsidRPr="006B40BF">
        <w:rPr>
          <w:rFonts w:ascii="Book Antiqua" w:hAnsi="Book Antiqua"/>
          <w:color w:val="1F497D" w:themeColor="text2"/>
          <w:sz w:val="24"/>
          <w:szCs w:val="24"/>
        </w:rPr>
        <w:t>our</w:t>
      </w:r>
      <w:r w:rsidR="00AA3113" w:rsidRPr="006B40BF">
        <w:rPr>
          <w:rFonts w:ascii="Book Antiqua" w:hAnsi="Book Antiqua"/>
          <w:color w:val="1F497D" w:themeColor="text2"/>
          <w:sz w:val="24"/>
          <w:szCs w:val="24"/>
        </w:rPr>
        <w:t xml:space="preserve"> website</w:t>
      </w:r>
      <w:r w:rsidRPr="006B40BF">
        <w:rPr>
          <w:rFonts w:ascii="Book Antiqua" w:hAnsi="Book Antiqua"/>
          <w:color w:val="1F497D" w:themeColor="text2"/>
          <w:sz w:val="24"/>
          <w:szCs w:val="24"/>
        </w:rPr>
        <w:t xml:space="preserve"> (</w:t>
      </w:r>
      <w:hyperlink r:id="rId4" w:history="1">
        <w:r w:rsidRPr="006B40BF">
          <w:rPr>
            <w:rStyle w:val="Hyperlink"/>
            <w:rFonts w:ascii="Book Antiqua" w:hAnsi="Book Antiqua"/>
            <w:color w:val="1F497D" w:themeColor="text2"/>
            <w:sz w:val="24"/>
            <w:szCs w:val="24"/>
          </w:rPr>
          <w:t>www.ipa.gov.pg</w:t>
        </w:r>
      </w:hyperlink>
      <w:r w:rsidRPr="006B40BF">
        <w:rPr>
          <w:rFonts w:ascii="Book Antiqua" w:hAnsi="Book Antiqua"/>
          <w:color w:val="1F497D" w:themeColor="text2"/>
          <w:sz w:val="24"/>
          <w:szCs w:val="24"/>
        </w:rPr>
        <w:t xml:space="preserve"> )</w:t>
      </w:r>
      <w:r w:rsidR="00AA3113" w:rsidRPr="006B40BF">
        <w:rPr>
          <w:rFonts w:ascii="Book Antiqua" w:hAnsi="Book Antiqua"/>
          <w:color w:val="1F497D" w:themeColor="text2"/>
          <w:sz w:val="24"/>
          <w:szCs w:val="24"/>
        </w:rPr>
        <w:t xml:space="preserve">, </w:t>
      </w:r>
      <w:r w:rsidR="00957F11" w:rsidRPr="006B40BF">
        <w:rPr>
          <w:rFonts w:ascii="Book Antiqua" w:hAnsi="Book Antiqua"/>
          <w:color w:val="1F497D" w:themeColor="text2"/>
          <w:sz w:val="24"/>
          <w:szCs w:val="24"/>
        </w:rPr>
        <w:t xml:space="preserve">a list of companies </w:t>
      </w:r>
      <w:r w:rsidRPr="006B40BF">
        <w:rPr>
          <w:rFonts w:ascii="Book Antiqua" w:hAnsi="Book Antiqua"/>
          <w:color w:val="1F497D" w:themeColor="text2"/>
          <w:sz w:val="24"/>
          <w:szCs w:val="24"/>
        </w:rPr>
        <w:t>which have</w:t>
      </w:r>
      <w:r w:rsidR="00957F11" w:rsidRPr="006B40BF">
        <w:rPr>
          <w:rFonts w:ascii="Book Antiqua" w:hAnsi="Book Antiqua"/>
          <w:color w:val="1F497D" w:themeColor="text2"/>
          <w:sz w:val="24"/>
          <w:szCs w:val="24"/>
        </w:rPr>
        <w:t xml:space="preserve"> outstanding Annual Returns. </w:t>
      </w:r>
      <w:r w:rsidR="006B40BF" w:rsidRPr="006B40BF">
        <w:rPr>
          <w:rFonts w:ascii="Book Antiqua" w:hAnsi="Book Antiqua"/>
          <w:color w:val="1F497D" w:themeColor="text2"/>
          <w:sz w:val="24"/>
          <w:szCs w:val="24"/>
        </w:rPr>
        <w:t xml:space="preserve">The aim of this exercise is to </w:t>
      </w:r>
      <w:r w:rsidR="00214168">
        <w:rPr>
          <w:rFonts w:ascii="Book Antiqua" w:hAnsi="Book Antiqua"/>
          <w:color w:val="1F497D" w:themeColor="text2"/>
          <w:sz w:val="24"/>
          <w:szCs w:val="24"/>
        </w:rPr>
        <w:t>encourage</w:t>
      </w:r>
      <w:r w:rsidR="006B40BF" w:rsidRPr="006B40BF">
        <w:rPr>
          <w:rFonts w:ascii="Book Antiqua" w:hAnsi="Book Antiqua"/>
          <w:color w:val="1F497D" w:themeColor="text2"/>
          <w:sz w:val="24"/>
          <w:szCs w:val="24"/>
        </w:rPr>
        <w:t xml:space="preserve"> companies to submit their outstanding Annual Returns before the actual process of deregistration commences.</w:t>
      </w:r>
      <w:r w:rsidR="006B40BF">
        <w:rPr>
          <w:rFonts w:ascii="Book Antiqua" w:hAnsi="Book Antiqua"/>
          <w:color w:val="1F497D" w:themeColor="text2"/>
          <w:sz w:val="24"/>
          <w:szCs w:val="24"/>
        </w:rPr>
        <w:t xml:space="preserve"> </w:t>
      </w:r>
    </w:p>
    <w:p w:rsidR="002A6284" w:rsidRPr="006B40BF" w:rsidRDefault="002A6284" w:rsidP="00147F87">
      <w:pPr>
        <w:jc w:val="both"/>
        <w:rPr>
          <w:rFonts w:ascii="Book Antiqua" w:hAnsi="Book Antiqua"/>
          <w:color w:val="1F497D" w:themeColor="text2"/>
          <w:sz w:val="24"/>
          <w:szCs w:val="24"/>
        </w:rPr>
      </w:pPr>
    </w:p>
    <w:p w:rsidR="002A6284" w:rsidRPr="006B40BF" w:rsidRDefault="00AB218A" w:rsidP="00147F87">
      <w:pPr>
        <w:jc w:val="both"/>
        <w:rPr>
          <w:rFonts w:ascii="Book Antiqua" w:hAnsi="Book Antiqua"/>
          <w:bCs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Section 366 of the </w:t>
      </w:r>
      <w:r w:rsidR="00527318"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Companies (Amendment) Act 2014 </w:t>
      </w:r>
      <w:r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states that </w:t>
      </w:r>
      <w:r w:rsidR="001D3953" w:rsidRPr="006B40BF">
        <w:rPr>
          <w:rFonts w:ascii="Book Antiqua" w:hAnsi="Book Antiqua"/>
          <w:bCs/>
          <w:i/>
          <w:color w:val="1F497D" w:themeColor="text2"/>
          <w:sz w:val="24"/>
          <w:szCs w:val="24"/>
        </w:rPr>
        <w:t>“</w:t>
      </w:r>
      <w:r w:rsidR="00527318" w:rsidRPr="006B40BF">
        <w:rPr>
          <w:rFonts w:ascii="Book Antiqua" w:hAnsi="Book Antiqua"/>
          <w:bCs/>
          <w:i/>
          <w:color w:val="1F497D" w:themeColor="text2"/>
          <w:sz w:val="24"/>
          <w:szCs w:val="24"/>
        </w:rPr>
        <w:t>..</w:t>
      </w:r>
      <w:r w:rsidR="001D3953" w:rsidRPr="006B40BF">
        <w:rPr>
          <w:rFonts w:ascii="Book Antiqua" w:hAnsi="Book Antiqua"/>
          <w:bCs/>
          <w:i/>
          <w:color w:val="1F497D" w:themeColor="text2"/>
          <w:sz w:val="24"/>
          <w:szCs w:val="24"/>
        </w:rPr>
        <w:t>a company can be removed from the register of registered companies if its annual return is at least six months late</w:t>
      </w:r>
      <w:r w:rsidR="00527318" w:rsidRPr="006B40BF">
        <w:rPr>
          <w:rFonts w:ascii="Book Antiqua" w:hAnsi="Book Antiqua"/>
          <w:bCs/>
          <w:color w:val="1F497D" w:themeColor="text2"/>
          <w:sz w:val="24"/>
          <w:szCs w:val="24"/>
        </w:rPr>
        <w:t>”</w:t>
      </w:r>
      <w:r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. </w:t>
      </w:r>
      <w:r w:rsidR="00AA3113"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. Prior to </w:t>
      </w:r>
      <w:r w:rsidR="006D6F72" w:rsidRPr="006B40BF">
        <w:rPr>
          <w:rFonts w:ascii="Book Antiqua" w:hAnsi="Book Antiqua"/>
          <w:bCs/>
          <w:color w:val="1F497D" w:themeColor="text2"/>
          <w:sz w:val="24"/>
          <w:szCs w:val="24"/>
        </w:rPr>
        <w:t>enforcing</w:t>
      </w:r>
      <w:r w:rsidR="00527318"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 this clause, </w:t>
      </w:r>
      <w:r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the Office of the Registrar of Companies </w:t>
      </w:r>
      <w:r w:rsidR="00527318"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is required by the same law to </w:t>
      </w:r>
      <w:r w:rsidRPr="006B40BF">
        <w:rPr>
          <w:rFonts w:ascii="Book Antiqua" w:hAnsi="Book Antiqua"/>
          <w:bCs/>
          <w:color w:val="1F497D" w:themeColor="text2"/>
          <w:sz w:val="24"/>
          <w:szCs w:val="24"/>
        </w:rPr>
        <w:t>publish</w:t>
      </w:r>
      <w:r w:rsidR="002A6284"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 </w:t>
      </w:r>
      <w:r w:rsidRPr="006B40BF">
        <w:rPr>
          <w:rFonts w:ascii="Book Antiqua" w:hAnsi="Book Antiqua"/>
          <w:bCs/>
          <w:color w:val="1F497D" w:themeColor="text2"/>
          <w:sz w:val="24"/>
          <w:szCs w:val="24"/>
        </w:rPr>
        <w:t>the “Notice of Intention to Deregister a Compan</w:t>
      </w:r>
      <w:r w:rsidR="002A6284"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y” to notify companies </w:t>
      </w:r>
      <w:r w:rsidR="00527318"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in advance </w:t>
      </w:r>
      <w:r w:rsidR="006D6F72"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before a company is removed from the </w:t>
      </w:r>
      <w:r w:rsidR="00FC1BE3">
        <w:rPr>
          <w:rFonts w:ascii="Book Antiqua" w:hAnsi="Book Antiqua"/>
          <w:bCs/>
          <w:color w:val="1F497D" w:themeColor="text2"/>
          <w:sz w:val="24"/>
          <w:szCs w:val="24"/>
        </w:rPr>
        <w:t>companies registry</w:t>
      </w:r>
      <w:r w:rsidR="002A6284" w:rsidRPr="006B40BF">
        <w:rPr>
          <w:rFonts w:ascii="Book Antiqua" w:hAnsi="Book Antiqua"/>
          <w:bCs/>
          <w:color w:val="1F497D" w:themeColor="text2"/>
          <w:sz w:val="24"/>
          <w:szCs w:val="24"/>
        </w:rPr>
        <w:t>.</w:t>
      </w:r>
      <w:r w:rsidR="00362F44"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 </w:t>
      </w:r>
    </w:p>
    <w:p w:rsidR="006D6F72" w:rsidRPr="006B40BF" w:rsidRDefault="006D6F72" w:rsidP="00147F87">
      <w:pPr>
        <w:jc w:val="both"/>
        <w:rPr>
          <w:rFonts w:ascii="Book Antiqua" w:hAnsi="Book Antiqua"/>
          <w:bCs/>
          <w:color w:val="1F497D" w:themeColor="text2"/>
          <w:sz w:val="24"/>
          <w:szCs w:val="24"/>
        </w:rPr>
      </w:pPr>
    </w:p>
    <w:p w:rsidR="002A6284" w:rsidRPr="006B40BF" w:rsidRDefault="00362F44" w:rsidP="002A6284">
      <w:pPr>
        <w:jc w:val="both"/>
        <w:rPr>
          <w:rFonts w:ascii="Book Antiqua" w:hAnsi="Book Antiqua"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color w:val="1F497D" w:themeColor="text2"/>
          <w:sz w:val="24"/>
          <w:szCs w:val="24"/>
        </w:rPr>
        <w:t>It is important to note that t</w:t>
      </w:r>
      <w:r w:rsidR="006D6F72" w:rsidRPr="006B40BF">
        <w:rPr>
          <w:rFonts w:ascii="Book Antiqua" w:hAnsi="Book Antiqua"/>
          <w:color w:val="1F497D" w:themeColor="text2"/>
          <w:sz w:val="24"/>
          <w:szCs w:val="24"/>
        </w:rPr>
        <w:t xml:space="preserve">he current list published on our mentioned </w:t>
      </w:r>
      <w:r w:rsidR="00AA3113" w:rsidRPr="006B40BF">
        <w:rPr>
          <w:rFonts w:ascii="Book Antiqua" w:hAnsi="Book Antiqua"/>
          <w:color w:val="1F497D" w:themeColor="text2"/>
          <w:sz w:val="24"/>
          <w:szCs w:val="24"/>
        </w:rPr>
        <w:t xml:space="preserve">website </w:t>
      </w:r>
      <w:r w:rsidR="002A6284" w:rsidRPr="006B40BF">
        <w:rPr>
          <w:rFonts w:ascii="Book Antiqua" w:hAnsi="Book Antiqua"/>
          <w:color w:val="1F497D" w:themeColor="text2"/>
          <w:sz w:val="24"/>
          <w:szCs w:val="24"/>
        </w:rPr>
        <w:t xml:space="preserve">is a goodwill intention </w:t>
      </w:r>
      <w:r w:rsidR="00AA3113" w:rsidRPr="006B40BF">
        <w:rPr>
          <w:rFonts w:ascii="Book Antiqua" w:hAnsi="Book Antiqua"/>
          <w:color w:val="1F497D" w:themeColor="text2"/>
          <w:sz w:val="24"/>
          <w:szCs w:val="24"/>
        </w:rPr>
        <w:t xml:space="preserve">to </w:t>
      </w:r>
      <w:r w:rsidRPr="006B40BF">
        <w:rPr>
          <w:rFonts w:ascii="Book Antiqua" w:hAnsi="Book Antiqua"/>
          <w:color w:val="1F497D" w:themeColor="text2"/>
          <w:sz w:val="24"/>
          <w:szCs w:val="24"/>
        </w:rPr>
        <w:t>prompt</w:t>
      </w:r>
      <w:r w:rsidR="00AA3113" w:rsidRPr="006B40BF">
        <w:rPr>
          <w:rFonts w:ascii="Book Antiqua" w:hAnsi="Book Antiqua"/>
          <w:color w:val="1F497D" w:themeColor="text2"/>
          <w:sz w:val="24"/>
          <w:szCs w:val="24"/>
        </w:rPr>
        <w:t xml:space="preserve"> </w:t>
      </w:r>
      <w:r w:rsidR="002A6284" w:rsidRPr="006B40BF">
        <w:rPr>
          <w:rFonts w:ascii="Book Antiqua" w:hAnsi="Book Antiqua"/>
          <w:color w:val="1F497D" w:themeColor="text2"/>
          <w:sz w:val="24"/>
          <w:szCs w:val="24"/>
        </w:rPr>
        <w:t xml:space="preserve">companies to submit </w:t>
      </w:r>
      <w:r w:rsidRPr="006B40BF">
        <w:rPr>
          <w:rFonts w:ascii="Book Antiqua" w:hAnsi="Book Antiqua"/>
          <w:color w:val="1F497D" w:themeColor="text2"/>
          <w:sz w:val="24"/>
          <w:szCs w:val="24"/>
        </w:rPr>
        <w:t xml:space="preserve">their </w:t>
      </w:r>
      <w:r w:rsidR="002A6284" w:rsidRPr="006B40BF">
        <w:rPr>
          <w:rFonts w:ascii="Book Antiqua" w:hAnsi="Book Antiqua"/>
          <w:color w:val="1F497D" w:themeColor="text2"/>
          <w:sz w:val="24"/>
          <w:szCs w:val="24"/>
        </w:rPr>
        <w:t xml:space="preserve">outstanding </w:t>
      </w:r>
      <w:r w:rsidRPr="006B40BF">
        <w:rPr>
          <w:rFonts w:ascii="Book Antiqua" w:hAnsi="Book Antiqua"/>
          <w:color w:val="1F497D" w:themeColor="text2"/>
          <w:sz w:val="24"/>
          <w:szCs w:val="24"/>
        </w:rPr>
        <w:t xml:space="preserve">Annual </w:t>
      </w:r>
      <w:r w:rsidR="002A6284" w:rsidRPr="006B40BF">
        <w:rPr>
          <w:rFonts w:ascii="Book Antiqua" w:hAnsi="Book Antiqua"/>
          <w:color w:val="1F497D" w:themeColor="text2"/>
          <w:sz w:val="24"/>
          <w:szCs w:val="24"/>
        </w:rPr>
        <w:t>Returns before the</w:t>
      </w:r>
      <w:r w:rsidR="00AA3113" w:rsidRPr="006B40BF">
        <w:rPr>
          <w:rFonts w:ascii="Book Antiqua" w:hAnsi="Book Antiqua"/>
          <w:color w:val="1F497D" w:themeColor="text2"/>
          <w:sz w:val="24"/>
          <w:szCs w:val="24"/>
        </w:rPr>
        <w:t xml:space="preserve"> </w:t>
      </w:r>
      <w:r w:rsidR="002A6284" w:rsidRPr="006B40BF">
        <w:rPr>
          <w:rFonts w:ascii="Book Antiqua" w:hAnsi="Book Antiqua"/>
          <w:color w:val="1F497D" w:themeColor="text2"/>
          <w:sz w:val="24"/>
          <w:szCs w:val="24"/>
        </w:rPr>
        <w:t xml:space="preserve">“Notice of Intention to Deregister Companies” is published in the </w:t>
      </w:r>
      <w:r w:rsidR="00527318" w:rsidRPr="006B40BF">
        <w:rPr>
          <w:rFonts w:ascii="Book Antiqua" w:hAnsi="Book Antiqua"/>
          <w:color w:val="1F497D" w:themeColor="text2"/>
          <w:sz w:val="24"/>
          <w:szCs w:val="24"/>
        </w:rPr>
        <w:t xml:space="preserve">print </w:t>
      </w:r>
      <w:r w:rsidR="002A6284" w:rsidRPr="006B40BF">
        <w:rPr>
          <w:rFonts w:ascii="Book Antiqua" w:hAnsi="Book Antiqua"/>
          <w:color w:val="1F497D" w:themeColor="text2"/>
          <w:sz w:val="24"/>
          <w:szCs w:val="24"/>
        </w:rPr>
        <w:t xml:space="preserve">media. </w:t>
      </w:r>
      <w:r w:rsidR="00527318" w:rsidRPr="006B40BF">
        <w:rPr>
          <w:rFonts w:ascii="Book Antiqua" w:hAnsi="Book Antiqua"/>
          <w:color w:val="1F497D" w:themeColor="text2"/>
          <w:sz w:val="24"/>
          <w:szCs w:val="24"/>
        </w:rPr>
        <w:t>This i</w:t>
      </w:r>
      <w:r w:rsidR="006D6F72" w:rsidRPr="006B40BF">
        <w:rPr>
          <w:rFonts w:ascii="Book Antiqua" w:hAnsi="Book Antiqua"/>
          <w:color w:val="1F497D" w:themeColor="text2"/>
          <w:sz w:val="24"/>
          <w:szCs w:val="24"/>
        </w:rPr>
        <w:t>s also the first time we are</w:t>
      </w:r>
      <w:r w:rsidR="00527318" w:rsidRPr="006B40BF">
        <w:rPr>
          <w:rFonts w:ascii="Book Antiqua" w:hAnsi="Book Antiqua"/>
          <w:color w:val="1F497D" w:themeColor="text2"/>
          <w:sz w:val="24"/>
          <w:szCs w:val="24"/>
        </w:rPr>
        <w:t xml:space="preserve"> underta</w:t>
      </w:r>
      <w:r w:rsidR="006D6F72" w:rsidRPr="006B40BF">
        <w:rPr>
          <w:rFonts w:ascii="Book Antiqua" w:hAnsi="Book Antiqua"/>
          <w:color w:val="1F497D" w:themeColor="text2"/>
          <w:sz w:val="24"/>
          <w:szCs w:val="24"/>
        </w:rPr>
        <w:t>king this exercise using the</w:t>
      </w:r>
      <w:r w:rsidR="00527318" w:rsidRPr="006B40BF">
        <w:rPr>
          <w:rFonts w:ascii="Book Antiqua" w:hAnsi="Book Antiqua"/>
          <w:color w:val="1F497D" w:themeColor="text2"/>
          <w:sz w:val="24"/>
          <w:szCs w:val="24"/>
        </w:rPr>
        <w:t xml:space="preserve"> online registry facility.</w:t>
      </w:r>
    </w:p>
    <w:p w:rsidR="006D6F72" w:rsidRPr="006B40BF" w:rsidRDefault="006D6F72" w:rsidP="002A6284">
      <w:pPr>
        <w:jc w:val="both"/>
        <w:rPr>
          <w:rFonts w:ascii="Book Antiqua" w:hAnsi="Book Antiqua"/>
          <w:color w:val="1F497D" w:themeColor="text2"/>
          <w:sz w:val="24"/>
          <w:szCs w:val="24"/>
        </w:rPr>
      </w:pPr>
    </w:p>
    <w:p w:rsidR="002A6284" w:rsidRPr="006B40BF" w:rsidRDefault="002A6284" w:rsidP="002A6284">
      <w:pPr>
        <w:jc w:val="both"/>
        <w:rPr>
          <w:rFonts w:ascii="Book Antiqua" w:hAnsi="Book Antiqua"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color w:val="1F497D" w:themeColor="text2"/>
          <w:sz w:val="24"/>
          <w:szCs w:val="24"/>
        </w:rPr>
        <w:t xml:space="preserve">An incentive for this exercise </w:t>
      </w:r>
      <w:r w:rsidR="006D6F72" w:rsidRPr="006B40BF">
        <w:rPr>
          <w:rFonts w:ascii="Book Antiqua" w:hAnsi="Book Antiqua"/>
          <w:color w:val="1F497D" w:themeColor="text2"/>
          <w:sz w:val="24"/>
          <w:szCs w:val="24"/>
        </w:rPr>
        <w:t>using our</w:t>
      </w:r>
      <w:r w:rsidR="00527318" w:rsidRPr="006B40BF">
        <w:rPr>
          <w:rFonts w:ascii="Book Antiqua" w:hAnsi="Book Antiqua"/>
          <w:color w:val="1F497D" w:themeColor="text2"/>
          <w:sz w:val="24"/>
          <w:szCs w:val="24"/>
        </w:rPr>
        <w:t xml:space="preserve"> online registry facility </w:t>
      </w:r>
      <w:r w:rsidR="006D6F72" w:rsidRPr="006B40BF">
        <w:rPr>
          <w:rFonts w:ascii="Book Antiqua" w:hAnsi="Book Antiqua"/>
          <w:color w:val="1F497D" w:themeColor="text2"/>
          <w:sz w:val="24"/>
          <w:szCs w:val="24"/>
        </w:rPr>
        <w:t>is the waiver of penalty fees</w:t>
      </w:r>
      <w:r w:rsidRPr="006B40BF">
        <w:rPr>
          <w:rFonts w:ascii="Book Antiqua" w:hAnsi="Book Antiqua"/>
          <w:color w:val="1F497D" w:themeColor="text2"/>
          <w:sz w:val="24"/>
          <w:szCs w:val="24"/>
        </w:rPr>
        <w:t xml:space="preserve"> to companies that lodge their Annual Returns by July 20</w:t>
      </w:r>
      <w:r w:rsidR="006D6F72" w:rsidRPr="006B40BF">
        <w:rPr>
          <w:rFonts w:ascii="Book Antiqua" w:hAnsi="Book Antiqua"/>
          <w:color w:val="1F497D" w:themeColor="text2"/>
          <w:sz w:val="24"/>
          <w:szCs w:val="24"/>
        </w:rPr>
        <w:t>, 2017</w:t>
      </w:r>
      <w:r w:rsidR="006B40BF">
        <w:rPr>
          <w:rFonts w:ascii="Book Antiqua" w:hAnsi="Book Antiqua"/>
          <w:color w:val="1F497D" w:themeColor="text2"/>
          <w:sz w:val="24"/>
          <w:szCs w:val="24"/>
        </w:rPr>
        <w:t>.</w:t>
      </w:r>
    </w:p>
    <w:p w:rsidR="002A6284" w:rsidRPr="006B40BF" w:rsidRDefault="002A6284" w:rsidP="00147F87">
      <w:pPr>
        <w:jc w:val="both"/>
        <w:rPr>
          <w:rFonts w:ascii="Book Antiqua" w:hAnsi="Book Antiqua"/>
          <w:color w:val="1F497D" w:themeColor="text2"/>
          <w:sz w:val="24"/>
          <w:szCs w:val="24"/>
        </w:rPr>
      </w:pPr>
    </w:p>
    <w:p w:rsidR="00362F44" w:rsidRPr="006B40BF" w:rsidRDefault="00957F11" w:rsidP="0083770F">
      <w:pPr>
        <w:rPr>
          <w:rFonts w:ascii="Book Antiqua" w:hAnsi="Book Antiqua"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color w:val="1F497D" w:themeColor="text2"/>
          <w:sz w:val="24"/>
          <w:szCs w:val="24"/>
        </w:rPr>
        <w:t xml:space="preserve">From the time of compiling the list </w:t>
      </w:r>
      <w:r w:rsidR="00362F44" w:rsidRPr="006B40BF">
        <w:rPr>
          <w:rFonts w:ascii="Book Antiqua" w:hAnsi="Book Antiqua"/>
          <w:color w:val="1F497D" w:themeColor="text2"/>
          <w:sz w:val="24"/>
          <w:szCs w:val="24"/>
        </w:rPr>
        <w:t>in March</w:t>
      </w:r>
      <w:r w:rsidR="00527318" w:rsidRPr="006B40BF">
        <w:rPr>
          <w:rFonts w:ascii="Book Antiqua" w:hAnsi="Book Antiqua"/>
          <w:color w:val="1F497D" w:themeColor="text2"/>
          <w:sz w:val="24"/>
          <w:szCs w:val="24"/>
        </w:rPr>
        <w:t xml:space="preserve"> 2017</w:t>
      </w:r>
      <w:r w:rsidR="00362F44" w:rsidRPr="006B40BF">
        <w:rPr>
          <w:rFonts w:ascii="Book Antiqua" w:hAnsi="Book Antiqua"/>
          <w:color w:val="1F497D" w:themeColor="text2"/>
          <w:sz w:val="24"/>
          <w:szCs w:val="24"/>
        </w:rPr>
        <w:t xml:space="preserve">, </w:t>
      </w:r>
      <w:r w:rsidRPr="006B40BF">
        <w:rPr>
          <w:rFonts w:ascii="Book Antiqua" w:hAnsi="Book Antiqua"/>
          <w:color w:val="1F497D" w:themeColor="text2"/>
          <w:sz w:val="24"/>
          <w:szCs w:val="24"/>
        </w:rPr>
        <w:t>to the actual publication of the list</w:t>
      </w:r>
      <w:r w:rsidR="00362F44" w:rsidRPr="006B40BF">
        <w:rPr>
          <w:rFonts w:ascii="Book Antiqua" w:hAnsi="Book Antiqua"/>
          <w:color w:val="1F497D" w:themeColor="text2"/>
          <w:sz w:val="24"/>
          <w:szCs w:val="24"/>
        </w:rPr>
        <w:t xml:space="preserve"> in April</w:t>
      </w:r>
      <w:r w:rsidRPr="006B40BF">
        <w:rPr>
          <w:rFonts w:ascii="Book Antiqua" w:hAnsi="Book Antiqua"/>
          <w:color w:val="1F497D" w:themeColor="text2"/>
          <w:sz w:val="24"/>
          <w:szCs w:val="24"/>
        </w:rPr>
        <w:t>, several companies ha</w:t>
      </w:r>
      <w:r w:rsidR="00527318" w:rsidRPr="006B40BF">
        <w:rPr>
          <w:rFonts w:ascii="Book Antiqua" w:hAnsi="Book Antiqua"/>
          <w:color w:val="1F497D" w:themeColor="text2"/>
          <w:sz w:val="24"/>
          <w:szCs w:val="24"/>
        </w:rPr>
        <w:t xml:space="preserve">ve since </w:t>
      </w:r>
      <w:r w:rsidRPr="006B40BF">
        <w:rPr>
          <w:rFonts w:ascii="Book Antiqua" w:hAnsi="Book Antiqua"/>
          <w:color w:val="1F497D" w:themeColor="text2"/>
          <w:sz w:val="24"/>
          <w:szCs w:val="24"/>
        </w:rPr>
        <w:t>complied</w:t>
      </w:r>
      <w:r w:rsidR="002A6284" w:rsidRPr="006B40BF">
        <w:rPr>
          <w:rFonts w:ascii="Book Antiqua" w:hAnsi="Book Antiqua"/>
          <w:color w:val="1F497D" w:themeColor="text2"/>
          <w:sz w:val="24"/>
          <w:szCs w:val="24"/>
        </w:rPr>
        <w:t>.</w:t>
      </w:r>
      <w:r w:rsidR="00362F44" w:rsidRPr="006B40BF">
        <w:rPr>
          <w:rFonts w:ascii="Book Antiqua" w:hAnsi="Book Antiqua"/>
          <w:color w:val="1F497D" w:themeColor="text2"/>
          <w:sz w:val="24"/>
          <w:szCs w:val="24"/>
        </w:rPr>
        <w:t xml:space="preserve"> We </w:t>
      </w:r>
      <w:r w:rsidR="0083770F" w:rsidRPr="006B40BF">
        <w:rPr>
          <w:rFonts w:ascii="Book Antiqua" w:hAnsi="Book Antiqua"/>
          <w:color w:val="1F497D" w:themeColor="text2"/>
          <w:sz w:val="24"/>
          <w:szCs w:val="24"/>
        </w:rPr>
        <w:t>apologize</w:t>
      </w:r>
      <w:r w:rsidR="00362F44" w:rsidRPr="006B40BF">
        <w:rPr>
          <w:rFonts w:ascii="Book Antiqua" w:hAnsi="Book Antiqua"/>
          <w:color w:val="1F497D" w:themeColor="text2"/>
          <w:sz w:val="24"/>
          <w:szCs w:val="24"/>
        </w:rPr>
        <w:t xml:space="preserve"> in advance if your company had complied but your name is still on the list.</w:t>
      </w:r>
      <w:r w:rsidR="00BE28F6" w:rsidRPr="006B40BF">
        <w:rPr>
          <w:rFonts w:ascii="Book Antiqua" w:hAnsi="Book Antiqua"/>
          <w:color w:val="1F497D" w:themeColor="text2"/>
          <w:sz w:val="24"/>
          <w:szCs w:val="24"/>
        </w:rPr>
        <w:t xml:space="preserve"> Please quickly send u</w:t>
      </w:r>
      <w:r w:rsidR="0083770F" w:rsidRPr="006B40BF">
        <w:rPr>
          <w:rFonts w:ascii="Book Antiqua" w:hAnsi="Book Antiqua"/>
          <w:color w:val="1F497D" w:themeColor="text2"/>
          <w:sz w:val="24"/>
          <w:szCs w:val="24"/>
        </w:rPr>
        <w:t>s an email to</w:t>
      </w:r>
      <w:r w:rsidR="00BE28F6" w:rsidRPr="006B40BF">
        <w:rPr>
          <w:rFonts w:ascii="Book Antiqua" w:hAnsi="Book Antiqua"/>
          <w:color w:val="1F497D" w:themeColor="text2"/>
          <w:sz w:val="24"/>
          <w:szCs w:val="24"/>
        </w:rPr>
        <w:t xml:space="preserve"> </w:t>
      </w:r>
      <w:hyperlink r:id="rId5" w:history="1">
        <w:r w:rsidR="00BE28F6" w:rsidRPr="006B40BF">
          <w:rPr>
            <w:rStyle w:val="Hyperlink"/>
            <w:rFonts w:ascii="Book Antiqua" w:hAnsi="Book Antiqua"/>
            <w:color w:val="1F497D" w:themeColor="text2"/>
            <w:sz w:val="24"/>
            <w:szCs w:val="24"/>
          </w:rPr>
          <w:t>ggcompliance@ipa.gov.pg</w:t>
        </w:r>
      </w:hyperlink>
      <w:r w:rsidR="00BE28F6" w:rsidRPr="006B40BF">
        <w:rPr>
          <w:rFonts w:ascii="Book Antiqua" w:hAnsi="Book Antiqua"/>
          <w:color w:val="1F497D" w:themeColor="text2"/>
          <w:sz w:val="24"/>
          <w:szCs w:val="24"/>
        </w:rPr>
        <w:t xml:space="preserve"> and we will update the list where applicable. </w:t>
      </w:r>
    </w:p>
    <w:p w:rsidR="00FF360C" w:rsidRDefault="00FF360C" w:rsidP="00FF360C">
      <w:pPr>
        <w:rPr>
          <w:rFonts w:ascii="Book Antiqua" w:hAnsi="Book Antiqua"/>
          <w:color w:val="1F497D" w:themeColor="text2"/>
          <w:sz w:val="24"/>
          <w:szCs w:val="24"/>
        </w:rPr>
      </w:pPr>
    </w:p>
    <w:p w:rsidR="00FF360C" w:rsidRPr="00FF360C" w:rsidRDefault="00FF360C" w:rsidP="00FF360C">
      <w:pPr>
        <w:rPr>
          <w:rFonts w:ascii="Book Antiqua" w:hAnsi="Book Antiqua"/>
          <w:color w:val="1F497D" w:themeColor="text2"/>
          <w:sz w:val="24"/>
          <w:szCs w:val="24"/>
        </w:rPr>
      </w:pPr>
      <w:r w:rsidRPr="00FF360C">
        <w:rPr>
          <w:rFonts w:ascii="Book Antiqua" w:hAnsi="Book Antiqua"/>
          <w:color w:val="1F497D" w:themeColor="text2"/>
          <w:sz w:val="24"/>
          <w:szCs w:val="24"/>
        </w:rPr>
        <w:t xml:space="preserve">From the time of publishing this notice, the list will be updated every Monday.    </w:t>
      </w:r>
    </w:p>
    <w:p w:rsidR="00957F11" w:rsidRPr="006B40BF" w:rsidRDefault="00957F11" w:rsidP="0083770F">
      <w:pPr>
        <w:rPr>
          <w:rFonts w:ascii="Book Antiqua" w:hAnsi="Book Antiqua"/>
          <w:color w:val="1F497D" w:themeColor="text2"/>
          <w:sz w:val="24"/>
          <w:szCs w:val="24"/>
        </w:rPr>
      </w:pPr>
    </w:p>
    <w:p w:rsidR="00B3484F" w:rsidRPr="006B40BF" w:rsidRDefault="00B3484F" w:rsidP="00B3484F">
      <w:pPr>
        <w:jc w:val="both"/>
        <w:rPr>
          <w:rFonts w:ascii="Book Antiqua" w:hAnsi="Book Antiqua"/>
          <w:bCs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Please do contact us immediately should you have any queries or require assistance at </w:t>
      </w:r>
      <w:hyperlink r:id="rId6" w:history="1">
        <w:r w:rsidRPr="006B40BF">
          <w:rPr>
            <w:rStyle w:val="Hyperlink"/>
            <w:rFonts w:ascii="Book Antiqua" w:hAnsi="Book Antiqua"/>
            <w:bCs/>
            <w:color w:val="1F497D" w:themeColor="text2"/>
            <w:sz w:val="24"/>
            <w:szCs w:val="24"/>
          </w:rPr>
          <w:t>ggonline@ipa.gov.pg</w:t>
        </w:r>
      </w:hyperlink>
      <w:r w:rsidRPr="006B40BF">
        <w:rPr>
          <w:rFonts w:ascii="Book Antiqua" w:hAnsi="Book Antiqua"/>
          <w:bCs/>
          <w:color w:val="1F497D" w:themeColor="text2"/>
          <w:sz w:val="24"/>
          <w:szCs w:val="24"/>
        </w:rPr>
        <w:t xml:space="preserve"> or call us on phone numbers 308444</w:t>
      </w:r>
      <w:r w:rsidR="00362F44" w:rsidRPr="006B40BF">
        <w:rPr>
          <w:rFonts w:ascii="Book Antiqua" w:hAnsi="Book Antiqua"/>
          <w:bCs/>
          <w:color w:val="1F497D" w:themeColor="text2"/>
          <w:sz w:val="24"/>
          <w:szCs w:val="24"/>
        </w:rPr>
        <w:t>3, 3084494, 3084495 and 3084496.</w:t>
      </w:r>
    </w:p>
    <w:p w:rsidR="00362F44" w:rsidRPr="006B40BF" w:rsidRDefault="00362F44" w:rsidP="00B3484F">
      <w:pPr>
        <w:jc w:val="both"/>
        <w:rPr>
          <w:rFonts w:ascii="Book Antiqua" w:hAnsi="Book Antiqua"/>
          <w:bCs/>
          <w:color w:val="1F497D" w:themeColor="text2"/>
          <w:sz w:val="24"/>
          <w:szCs w:val="24"/>
        </w:rPr>
      </w:pPr>
    </w:p>
    <w:p w:rsidR="00362F44" w:rsidRPr="006B40BF" w:rsidRDefault="00362F44" w:rsidP="00B3484F">
      <w:pPr>
        <w:jc w:val="both"/>
        <w:rPr>
          <w:rFonts w:ascii="Book Antiqua" w:hAnsi="Book Antiqua"/>
          <w:bCs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bCs/>
          <w:color w:val="1F497D" w:themeColor="text2"/>
          <w:sz w:val="24"/>
          <w:szCs w:val="24"/>
        </w:rPr>
        <w:t>Thank you.</w:t>
      </w:r>
    </w:p>
    <w:p w:rsidR="00362F44" w:rsidRPr="006B40BF" w:rsidRDefault="00362F44" w:rsidP="00B3484F">
      <w:pPr>
        <w:jc w:val="both"/>
        <w:rPr>
          <w:rFonts w:ascii="Book Antiqua" w:hAnsi="Book Antiqua"/>
          <w:bCs/>
          <w:color w:val="1F497D" w:themeColor="text2"/>
          <w:sz w:val="24"/>
          <w:szCs w:val="24"/>
        </w:rPr>
      </w:pPr>
    </w:p>
    <w:p w:rsidR="00362F44" w:rsidRPr="006B40BF" w:rsidRDefault="0083770F" w:rsidP="00B3484F">
      <w:pPr>
        <w:jc w:val="both"/>
        <w:rPr>
          <w:rFonts w:ascii="Book Antiqua" w:hAnsi="Book Antiqua"/>
          <w:b/>
          <w:bCs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b/>
          <w:bCs/>
          <w:color w:val="1F497D" w:themeColor="text2"/>
          <w:sz w:val="24"/>
          <w:szCs w:val="24"/>
        </w:rPr>
        <w:t>Authorized</w:t>
      </w:r>
      <w:r w:rsidR="00362F44" w:rsidRPr="006B40BF">
        <w:rPr>
          <w:rFonts w:ascii="Book Antiqua" w:hAnsi="Book Antiqua"/>
          <w:b/>
          <w:bCs/>
          <w:color w:val="1F497D" w:themeColor="text2"/>
          <w:sz w:val="24"/>
          <w:szCs w:val="24"/>
        </w:rPr>
        <w:t xml:space="preserve"> for release by:</w:t>
      </w:r>
    </w:p>
    <w:p w:rsidR="00362F44" w:rsidRPr="006B40BF" w:rsidRDefault="00362F44" w:rsidP="00B3484F">
      <w:pPr>
        <w:jc w:val="both"/>
        <w:rPr>
          <w:rFonts w:ascii="Book Antiqua" w:hAnsi="Book Antiqua"/>
          <w:bCs/>
          <w:color w:val="1F497D" w:themeColor="text2"/>
          <w:sz w:val="24"/>
          <w:szCs w:val="24"/>
        </w:rPr>
      </w:pPr>
    </w:p>
    <w:p w:rsidR="00362F44" w:rsidRPr="006B40BF" w:rsidRDefault="00362F44" w:rsidP="00B3484F">
      <w:pPr>
        <w:jc w:val="both"/>
        <w:rPr>
          <w:rFonts w:ascii="Book Antiqua" w:hAnsi="Book Antiqua"/>
          <w:bCs/>
          <w:color w:val="1F497D" w:themeColor="text2"/>
          <w:sz w:val="24"/>
          <w:szCs w:val="24"/>
        </w:rPr>
      </w:pPr>
    </w:p>
    <w:p w:rsidR="0024537D" w:rsidRDefault="00362F44" w:rsidP="00A061D2">
      <w:pPr>
        <w:jc w:val="both"/>
        <w:rPr>
          <w:rFonts w:ascii="Book Antiqua" w:hAnsi="Book Antiqua"/>
          <w:b/>
          <w:bCs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b/>
          <w:bCs/>
          <w:color w:val="1F497D" w:themeColor="text2"/>
          <w:sz w:val="24"/>
          <w:szCs w:val="24"/>
        </w:rPr>
        <w:t>Clarence M Hoot</w:t>
      </w:r>
    </w:p>
    <w:p w:rsidR="00B3484F" w:rsidRPr="006B40BF" w:rsidRDefault="00362F44" w:rsidP="00A061D2">
      <w:pPr>
        <w:jc w:val="both"/>
        <w:rPr>
          <w:rFonts w:ascii="Book Antiqua" w:hAnsi="Book Antiqua"/>
          <w:bCs/>
          <w:color w:val="1F497D" w:themeColor="text2"/>
          <w:sz w:val="24"/>
          <w:szCs w:val="24"/>
        </w:rPr>
      </w:pPr>
      <w:r w:rsidRPr="006B40BF">
        <w:rPr>
          <w:rFonts w:ascii="Book Antiqua" w:hAnsi="Book Antiqua"/>
          <w:bCs/>
          <w:color w:val="1F497D" w:themeColor="text2"/>
          <w:sz w:val="24"/>
          <w:szCs w:val="24"/>
        </w:rPr>
        <w:t>Acting Managing Director</w:t>
      </w:r>
    </w:p>
    <w:sectPr w:rsidR="00B3484F" w:rsidRPr="006B40BF" w:rsidSect="001D5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974CF"/>
    <w:rsid w:val="00006119"/>
    <w:rsid w:val="00061DB0"/>
    <w:rsid w:val="00063C43"/>
    <w:rsid w:val="000B4701"/>
    <w:rsid w:val="000D7318"/>
    <w:rsid w:val="000E4F4E"/>
    <w:rsid w:val="000F6118"/>
    <w:rsid w:val="00147F87"/>
    <w:rsid w:val="00192DA2"/>
    <w:rsid w:val="001D3953"/>
    <w:rsid w:val="001D3B9B"/>
    <w:rsid w:val="001D5FB6"/>
    <w:rsid w:val="00214168"/>
    <w:rsid w:val="002276DB"/>
    <w:rsid w:val="002440CC"/>
    <w:rsid w:val="0024537D"/>
    <w:rsid w:val="00260A43"/>
    <w:rsid w:val="0029159C"/>
    <w:rsid w:val="002A6284"/>
    <w:rsid w:val="002C1650"/>
    <w:rsid w:val="00325811"/>
    <w:rsid w:val="00362F44"/>
    <w:rsid w:val="003B536F"/>
    <w:rsid w:val="003F3CD5"/>
    <w:rsid w:val="00423AD0"/>
    <w:rsid w:val="004868C3"/>
    <w:rsid w:val="00527318"/>
    <w:rsid w:val="0053301F"/>
    <w:rsid w:val="00573BB7"/>
    <w:rsid w:val="00662417"/>
    <w:rsid w:val="006B40BF"/>
    <w:rsid w:val="006D5DCA"/>
    <w:rsid w:val="006D6F72"/>
    <w:rsid w:val="006E2E9C"/>
    <w:rsid w:val="0071398F"/>
    <w:rsid w:val="00725235"/>
    <w:rsid w:val="007822A5"/>
    <w:rsid w:val="0079743C"/>
    <w:rsid w:val="007B4116"/>
    <w:rsid w:val="008063AE"/>
    <w:rsid w:val="0083770F"/>
    <w:rsid w:val="008E6929"/>
    <w:rsid w:val="00957F11"/>
    <w:rsid w:val="009974CF"/>
    <w:rsid w:val="009A1D7D"/>
    <w:rsid w:val="009D1016"/>
    <w:rsid w:val="00A061D2"/>
    <w:rsid w:val="00A22149"/>
    <w:rsid w:val="00A24048"/>
    <w:rsid w:val="00A53EC1"/>
    <w:rsid w:val="00A66036"/>
    <w:rsid w:val="00A6691B"/>
    <w:rsid w:val="00AA3113"/>
    <w:rsid w:val="00AB218A"/>
    <w:rsid w:val="00B3484F"/>
    <w:rsid w:val="00B556AE"/>
    <w:rsid w:val="00B74E78"/>
    <w:rsid w:val="00BE28F6"/>
    <w:rsid w:val="00C00B08"/>
    <w:rsid w:val="00C44B69"/>
    <w:rsid w:val="00C45198"/>
    <w:rsid w:val="00C50653"/>
    <w:rsid w:val="00CC30FC"/>
    <w:rsid w:val="00D202BE"/>
    <w:rsid w:val="00D658D1"/>
    <w:rsid w:val="00D86B81"/>
    <w:rsid w:val="00DA5AB7"/>
    <w:rsid w:val="00DB3F20"/>
    <w:rsid w:val="00E6399B"/>
    <w:rsid w:val="00E67C1B"/>
    <w:rsid w:val="00E865BF"/>
    <w:rsid w:val="00E87345"/>
    <w:rsid w:val="00EC3E46"/>
    <w:rsid w:val="00EC7155"/>
    <w:rsid w:val="00F06DDA"/>
    <w:rsid w:val="00FB179D"/>
    <w:rsid w:val="00FC1BE3"/>
    <w:rsid w:val="00FF360C"/>
    <w:rsid w:val="00FF425F"/>
    <w:rsid w:val="00FF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4C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4C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484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3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31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141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1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16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1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1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3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gonline@ipa.gov.pg" TargetMode="External"/><Relationship Id="rId5" Type="http://schemas.openxmlformats.org/officeDocument/2006/relationships/hyperlink" Target="mailto:ggcompliance@ipa.gov.pg" TargetMode="External"/><Relationship Id="rId4" Type="http://schemas.openxmlformats.org/officeDocument/2006/relationships/hyperlink" Target="http://www.ipa.gov.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beverlyp</dc:creator>
  <cp:lastModifiedBy>beverlyp</cp:lastModifiedBy>
  <cp:revision>2</cp:revision>
  <dcterms:created xsi:type="dcterms:W3CDTF">2017-06-13T23:36:00Z</dcterms:created>
  <dcterms:modified xsi:type="dcterms:W3CDTF">2017-06-13T23:36:00Z</dcterms:modified>
</cp:coreProperties>
</file>